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7F44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 w:eastAsia="hu-HU"/>
        </w:rPr>
      </w:pPr>
      <w:r w:rsidRPr="00EF402A">
        <w:rPr>
          <w:rFonts w:ascii="Times New Roman" w:eastAsia="Calibri" w:hAnsi="Times New Roman" w:cs="Times New Roman"/>
          <w:sz w:val="24"/>
          <w:szCs w:val="24"/>
          <w:u w:val="single"/>
          <w:lang w:val="en-US" w:eastAsia="hu-HU"/>
        </w:rPr>
        <w:t>Data for comparing fuel prices</w:t>
      </w:r>
    </w:p>
    <w:p w14:paraId="705D546D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</w:p>
    <w:p w14:paraId="477CDC33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In accordance with the Commission Implementing Regulation</w:t>
      </w:r>
      <w:r w:rsidRPr="00EF402A">
        <w:rPr>
          <w:rFonts w:ascii="Calibri" w:eastAsia="Calibri" w:hAnsi="Calibri" w:cs="Calibri"/>
          <w:lang w:val="en-US" w:eastAsia="hu-HU"/>
        </w:rPr>
        <w:t xml:space="preserve"> </w:t>
      </w: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2018/732 of 17 May 2018 on a common methodology for alternative fuels unit price comparison in accordance with Directive 2014/94/EU of the European Parliament and of the Council, the Government of Hungary has prepared the legislative amendment to the 4/2009. NFGM-SZMM joint decree on the detailed rules for indicating the sales price and unit price of products, as well as the fee for services (hereinafter: legislative amendment) that complies with EU legislation. The legislative amendment was announced on August 31, 2021, in issue No. 160 of the Hungarian Gazette 2021.</w:t>
      </w:r>
    </w:p>
    <w:p w14:paraId="1C185B15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</w:p>
    <w:p w14:paraId="6D6B0433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</w:pP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Among the options presented in the FPC4Consumers guide,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>we chose to perform the calculation for only one segment. And this segment covers vehicles that are considered mid-range and lower-mid-range in domestic terms.</w:t>
      </w:r>
    </w:p>
    <w:p w14:paraId="3D8D14FC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</w:p>
    <w:p w14:paraId="686AD625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According to the legislative amendment if the operator of the fueling station distributes alternative fuels at the fuel filling station, must indicate the comparison of the unit prices of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>95 octane motor gasoline</w:t>
      </w: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 according to the MSZ EN 228 standard and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>diesel fuel oil</w:t>
      </w: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 according to the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>MSZ EN 590 standard</w:t>
      </w: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 and the alternative fuel (for example LPG) distributed at the fueling station calculated based on the methodology according to Annex 1 of the legislative amendment. </w:t>
      </w:r>
    </w:p>
    <w:p w14:paraId="65A63809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</w:p>
    <w:p w14:paraId="34C08F01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</w:pPr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>In case of electricity and regarding the electric charging point of the fuel filling station, the lowest available electromobility service fee shall be applied</w:t>
      </w:r>
      <w:r w:rsidRPr="00EF402A">
        <w:rPr>
          <w:rFonts w:ascii="Calibri" w:eastAsia="Calibri" w:hAnsi="Calibri" w:cs="Calibri"/>
          <w:lang w:val="en-US" w:eastAsia="hu-HU"/>
        </w:rPr>
        <w:t xml:space="preserve">; </w:t>
      </w: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this</w:t>
      </w:r>
      <w:r w:rsidRPr="00EF402A">
        <w:rPr>
          <w:rFonts w:ascii="Calibri" w:eastAsia="Calibri" w:hAnsi="Calibri" w:cs="Calibri"/>
          <w:sz w:val="24"/>
          <w:szCs w:val="24"/>
          <w:lang w:val="en-US" w:eastAsia="hu-HU"/>
        </w:rPr>
        <w:t xml:space="preserve"> </w:t>
      </w: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value can vary from fuel filling station to fuel filling station, which means that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>we are not able to provide uniform data regarding electricity.</w:t>
      </w:r>
    </w:p>
    <w:p w14:paraId="5A3AFC1E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</w:p>
    <w:p w14:paraId="23E6F42D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</w:pP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Based on the above and </w:t>
      </w:r>
      <w:proofErr w:type="gramStart"/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with regard to</w:t>
      </w:r>
      <w:proofErr w:type="gramEnd"/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 Hungary, we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>can provide values for gasoline, diesel and LPG within the framework of data provision.</w:t>
      </w:r>
      <w:r w:rsidRPr="00EF402A">
        <w:rPr>
          <w:rFonts w:ascii="Calibri" w:eastAsia="Calibri" w:hAnsi="Calibri" w:cs="Calibri"/>
          <w:lang w:val="en-US" w:eastAsia="hu-HU"/>
        </w:rPr>
        <w:t xml:space="preserve">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 xml:space="preserve">Average fuel prices are published monthly on the website of the National Tax and Customs Administration, these average prices are </w:t>
      </w:r>
      <w:proofErr w:type="gramStart"/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>taken into account</w:t>
      </w:r>
      <w:proofErr w:type="gramEnd"/>
      <w:r w:rsidRPr="00EF402A">
        <w:rPr>
          <w:rFonts w:ascii="Times New Roman" w:eastAsia="Calibri" w:hAnsi="Times New Roman" w:cs="Times New Roman"/>
          <w:b/>
          <w:bCs/>
          <w:sz w:val="24"/>
          <w:szCs w:val="24"/>
          <w:lang w:val="en-US" w:eastAsia="hu-HU"/>
        </w:rPr>
        <w:t xml:space="preserve"> in our calculations for gasoline, diesel and LPG.</w:t>
      </w:r>
    </w:p>
    <w:p w14:paraId="6E321DB0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</w:p>
    <w:p w14:paraId="13A9E3BF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 w:eastAsia="hu-HU"/>
        </w:rPr>
      </w:pPr>
      <w:r w:rsidRPr="00EF402A">
        <w:rPr>
          <w:rFonts w:ascii="Times New Roman" w:eastAsia="Calibri" w:hAnsi="Times New Roman" w:cs="Times New Roman"/>
          <w:sz w:val="24"/>
          <w:szCs w:val="24"/>
          <w:u w:val="single"/>
          <w:lang w:val="en-US" w:eastAsia="hu-HU"/>
        </w:rPr>
        <w:t xml:space="preserve">The values for the comparison of fuel prices in the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 w:eastAsia="hu-HU"/>
        </w:rPr>
        <w:t>first quarter of 2022</w:t>
      </w:r>
      <w:r w:rsidRPr="00EF402A">
        <w:rPr>
          <w:rFonts w:ascii="Times New Roman" w:eastAsia="Calibri" w:hAnsi="Times New Roman" w:cs="Times New Roman"/>
          <w:sz w:val="24"/>
          <w:szCs w:val="24"/>
          <w:u w:val="single"/>
          <w:lang w:val="en-US" w:eastAsia="hu-HU"/>
        </w:rPr>
        <w:t xml:space="preserve"> were as follows:</w:t>
      </w:r>
    </w:p>
    <w:p w14:paraId="7792E522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</w:p>
    <w:tbl>
      <w:tblPr>
        <w:tblW w:w="91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559"/>
        <w:gridCol w:w="3402"/>
        <w:gridCol w:w="1701"/>
      </w:tblGrid>
      <w:tr w:rsidR="00EF402A" w:rsidRPr="00EF402A" w14:paraId="27C035CA" w14:textId="77777777" w:rsidTr="00EF402A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45E2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C4BE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Petrol 95 E10</w:t>
            </w:r>
          </w:p>
          <w:p w14:paraId="476E9E77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capped</w:t>
            </w:r>
            <w:proofErr w:type="gramEnd"/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fuel price)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1537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Diesel EN590</w:t>
            </w:r>
            <w:r w:rsidRPr="00EF402A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val="en-US"/>
              </w:rPr>
              <w:t xml:space="preserve"> </w:t>
            </w: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(capped fuel price)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4E4F4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LPG</w:t>
            </w:r>
          </w:p>
        </w:tc>
      </w:tr>
      <w:tr w:rsidR="00EF402A" w:rsidRPr="00EF402A" w14:paraId="3C7BCFBB" w14:textId="77777777" w:rsidTr="00EF402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555C" w14:textId="77777777" w:rsidR="00EF402A" w:rsidRPr="00EF402A" w:rsidRDefault="00EF402A" w:rsidP="00EF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Average cost of fuel per 100km*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6F23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8.34 €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347C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6.67 €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3751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7.36 €</w:t>
            </w:r>
          </w:p>
        </w:tc>
      </w:tr>
    </w:tbl>
    <w:p w14:paraId="74DD0057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D62F2E1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 w:eastAsia="hu-HU"/>
        </w:rPr>
      </w:pPr>
      <w:r w:rsidRPr="00EF402A">
        <w:rPr>
          <w:rFonts w:ascii="Times New Roman" w:eastAsia="Calibri" w:hAnsi="Times New Roman" w:cs="Times New Roman"/>
          <w:sz w:val="24"/>
          <w:szCs w:val="24"/>
          <w:u w:val="single"/>
          <w:lang w:val="en-US" w:eastAsia="hu-HU"/>
        </w:rPr>
        <w:t xml:space="preserve">The values for the comparison of fuel prices in the </w:t>
      </w:r>
      <w:r w:rsidRPr="00EF402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 w:eastAsia="hu-HU"/>
        </w:rPr>
        <w:t>second quarter of 2022</w:t>
      </w:r>
      <w:r w:rsidRPr="00EF402A">
        <w:rPr>
          <w:rFonts w:ascii="Times New Roman" w:eastAsia="Calibri" w:hAnsi="Times New Roman" w:cs="Times New Roman"/>
          <w:sz w:val="24"/>
          <w:szCs w:val="24"/>
          <w:u w:val="single"/>
          <w:lang w:val="en-US" w:eastAsia="hu-HU"/>
        </w:rPr>
        <w:t xml:space="preserve"> were as follows:</w:t>
      </w:r>
    </w:p>
    <w:p w14:paraId="380C8385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</w:p>
    <w:tbl>
      <w:tblPr>
        <w:tblW w:w="91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559"/>
        <w:gridCol w:w="1701"/>
        <w:gridCol w:w="1701"/>
        <w:gridCol w:w="1701"/>
      </w:tblGrid>
      <w:tr w:rsidR="00EF402A" w:rsidRPr="00EF402A" w14:paraId="63EEEA12" w14:textId="77777777" w:rsidTr="00EF402A"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60BA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Fuel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B07D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Petrol 95 E10</w:t>
            </w:r>
          </w:p>
          <w:p w14:paraId="578C7AFC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1F497D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capped</w:t>
            </w:r>
            <w:proofErr w:type="gramEnd"/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fuel price)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EBA4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Diesel EN590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C11A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LPG</w:t>
            </w:r>
          </w:p>
        </w:tc>
      </w:tr>
      <w:tr w:rsidR="00EF402A" w:rsidRPr="00EF402A" w14:paraId="5E5F3AB3" w14:textId="77777777" w:rsidTr="00EF402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69678" w14:textId="77777777" w:rsidR="00EF402A" w:rsidRPr="00EF402A" w:rsidRDefault="00EF402A" w:rsidP="00EF40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762F2" w14:textId="77777777" w:rsidR="00EF402A" w:rsidRPr="00EF402A" w:rsidRDefault="00EF402A" w:rsidP="00EF402A">
            <w:pPr>
              <w:spacing w:after="0" w:line="240" w:lineRule="auto"/>
              <w:rPr>
                <w:rFonts w:ascii="Calibri" w:eastAsia="Calibri" w:hAnsi="Calibri" w:cs="Calibri"/>
                <w:color w:val="1F497D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A03A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Capped fuel price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A165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Market fuel price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26EBE" w14:textId="77777777" w:rsidR="00EF402A" w:rsidRPr="00EF402A" w:rsidRDefault="00EF402A" w:rsidP="00EF40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402A" w:rsidRPr="00EF402A" w14:paraId="66D3D8A2" w14:textId="77777777" w:rsidTr="00EF402A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BD067" w14:textId="77777777" w:rsidR="00EF402A" w:rsidRPr="00EF402A" w:rsidRDefault="00EF402A" w:rsidP="00EF40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Average cost of fuel per 100km*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BE10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7.89 €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1999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6.31 €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562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8.96 €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5048" w14:textId="77777777" w:rsidR="00EF402A" w:rsidRPr="00EF402A" w:rsidRDefault="00EF402A" w:rsidP="00EF4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7.18 €</w:t>
            </w:r>
          </w:p>
        </w:tc>
      </w:tr>
    </w:tbl>
    <w:p w14:paraId="682AB011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8B1679F" w14:textId="77777777" w:rsidR="00EF402A" w:rsidRPr="00EF402A" w:rsidRDefault="00EF402A" w:rsidP="00EF402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  <w:proofErr w:type="gramStart"/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In order to</w:t>
      </w:r>
      <w:proofErr w:type="gramEnd"/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 keep inflation under control, the Government fixed the price of 95 gasoline and diesel with an upper limit of HUF 480 initially for a period corresponding to three months from November 15, 2021.</w:t>
      </w:r>
      <w:r w:rsidRPr="00EF402A">
        <w:rPr>
          <w:rFonts w:ascii="Calibri" w:eastAsia="Calibri" w:hAnsi="Calibri" w:cs="Calibri"/>
          <w:lang w:val="en-US" w:eastAsia="hu-HU"/>
        </w:rPr>
        <w:t xml:space="preserve"> </w:t>
      </w: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>This price cap has been extended several times and its personal scope has also been changed.</w:t>
      </w:r>
    </w:p>
    <w:p w14:paraId="58E12ABB" w14:textId="77777777" w:rsidR="00EF402A" w:rsidRPr="00EF402A" w:rsidRDefault="00EF402A" w:rsidP="00EF402A">
      <w:pPr>
        <w:spacing w:after="0" w:line="240" w:lineRule="auto"/>
        <w:ind w:left="720"/>
        <w:rPr>
          <w:rFonts w:ascii="Calibri" w:eastAsia="Calibri" w:hAnsi="Calibri" w:cs="Calibri"/>
          <w:color w:val="1F497D"/>
          <w:lang w:val="en-US" w:eastAsia="hu-HU"/>
        </w:rPr>
      </w:pPr>
    </w:p>
    <w:p w14:paraId="51313E52" w14:textId="77777777" w:rsidR="00EF402A" w:rsidRPr="00EF402A" w:rsidRDefault="00EF402A" w:rsidP="00EF402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hu-HU"/>
        </w:rPr>
      </w:pPr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*=The values are based on the average quarterly EUR-HUF exchange rates of the Hungarian National Bank, and can be accessed via the following link: </w:t>
      </w:r>
      <w:hyperlink r:id="rId6" w:history="1">
        <w:r w:rsidRPr="00EF402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hu-HU"/>
          </w:rPr>
          <w:t>https://statisztika.mnb.hu/idosor-1382</w:t>
        </w:r>
      </w:hyperlink>
      <w:r w:rsidRPr="00EF402A">
        <w:rPr>
          <w:rFonts w:ascii="Times New Roman" w:eastAsia="Calibri" w:hAnsi="Times New Roman" w:cs="Times New Roman"/>
          <w:sz w:val="24"/>
          <w:szCs w:val="24"/>
          <w:lang w:val="en-US" w:eastAsia="hu-HU"/>
        </w:rPr>
        <w:t xml:space="preserve"> . The conversion rate in the first quarter of 2022 is HUF 364.27/EUR, in the second quarter of 2022 is HUF 385.88/EUR.</w:t>
      </w:r>
    </w:p>
    <w:p w14:paraId="7D7CEF52" w14:textId="77777777" w:rsidR="00E75812" w:rsidRPr="00EF402A" w:rsidRDefault="00E75812">
      <w:pPr>
        <w:rPr>
          <w:lang w:val="en-US"/>
        </w:rPr>
      </w:pPr>
    </w:p>
    <w:sectPr w:rsidR="00E75812" w:rsidRPr="00EF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3808" w14:textId="77777777" w:rsidR="00263122" w:rsidRDefault="00263122" w:rsidP="00EF402A">
      <w:pPr>
        <w:spacing w:after="0" w:line="240" w:lineRule="auto"/>
      </w:pPr>
      <w:r>
        <w:separator/>
      </w:r>
    </w:p>
  </w:endnote>
  <w:endnote w:type="continuationSeparator" w:id="0">
    <w:p w14:paraId="4A062EC2" w14:textId="77777777" w:rsidR="00263122" w:rsidRDefault="00263122" w:rsidP="00EF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23D5" w14:textId="77777777" w:rsidR="00263122" w:rsidRDefault="00263122" w:rsidP="00EF402A">
      <w:pPr>
        <w:spacing w:after="0" w:line="240" w:lineRule="auto"/>
      </w:pPr>
      <w:r>
        <w:separator/>
      </w:r>
    </w:p>
  </w:footnote>
  <w:footnote w:type="continuationSeparator" w:id="0">
    <w:p w14:paraId="775D09EB" w14:textId="77777777" w:rsidR="00263122" w:rsidRDefault="00263122" w:rsidP="00EF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2A"/>
    <w:rsid w:val="00263122"/>
    <w:rsid w:val="00E75812"/>
    <w:rsid w:val="00E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20C6"/>
  <w15:chartTrackingRefBased/>
  <w15:docId w15:val="{60B98FD1-54F9-4262-B676-E6BD7302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402A"/>
  </w:style>
  <w:style w:type="paragraph" w:styleId="llb">
    <w:name w:val="footer"/>
    <w:basedOn w:val="Norml"/>
    <w:link w:val="llbChar"/>
    <w:uiPriority w:val="99"/>
    <w:unhideWhenUsed/>
    <w:rsid w:val="00EF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statisztika.mnb.hu/idosor-1382__;!!DOxrgLBm!BCFw2yXBoAjlILtZlCqoDFdLbiq5zSTs2XuZwUCjEu7euTsFk6bzZUEGYDip2Wwtpj1RFL-lIiAl0dxVPSTodCil_1VlsN9Ehg$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Csukás</dc:creator>
  <cp:keywords/>
  <dc:description/>
  <cp:lastModifiedBy>Máté Csukás</cp:lastModifiedBy>
  <cp:revision>1</cp:revision>
  <dcterms:created xsi:type="dcterms:W3CDTF">2022-12-15T14:49:00Z</dcterms:created>
  <dcterms:modified xsi:type="dcterms:W3CDTF">2022-12-15T14:50:00Z</dcterms:modified>
</cp:coreProperties>
</file>